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EABE33" w14:textId="77777777" w:rsidR="007C09B8" w:rsidRDefault="007C09B8" w:rsidP="008D5531">
      <w:pPr>
        <w:jc w:val="center"/>
        <w:rPr>
          <w:b/>
        </w:rPr>
      </w:pPr>
      <w:bookmarkStart w:id="0" w:name="_GoBack"/>
      <w:bookmarkEnd w:id="0"/>
      <w:r>
        <w:rPr>
          <w:noProof/>
          <w:lang w:eastAsia="fr-FR"/>
        </w:rPr>
        <w:drawing>
          <wp:anchor distT="0" distB="0" distL="114300" distR="114300" simplePos="0" relativeHeight="251660288" behindDoc="0" locked="0" layoutInCell="1" allowOverlap="1" wp14:anchorId="054333DA" wp14:editId="7E28F554">
            <wp:simplePos x="0" y="0"/>
            <wp:positionH relativeFrom="column">
              <wp:posOffset>-509270</wp:posOffset>
            </wp:positionH>
            <wp:positionV relativeFrom="page">
              <wp:posOffset>323850</wp:posOffset>
            </wp:positionV>
            <wp:extent cx="1185545" cy="1108075"/>
            <wp:effectExtent l="0" t="0" r="0" b="0"/>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tCharles SteCroix Logo HD DEF RVB CAMPUS.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85545" cy="1108075"/>
                    </a:xfrm>
                    <a:prstGeom prst="rect">
                      <a:avLst/>
                    </a:prstGeom>
                  </pic:spPr>
                </pic:pic>
              </a:graphicData>
            </a:graphic>
          </wp:anchor>
        </w:drawing>
      </w:r>
    </w:p>
    <w:p w14:paraId="048F8F16" w14:textId="77777777" w:rsidR="007C09B8" w:rsidRDefault="007C09B8" w:rsidP="008D5531">
      <w:pPr>
        <w:jc w:val="center"/>
        <w:rPr>
          <w:b/>
        </w:rPr>
      </w:pPr>
    </w:p>
    <w:p w14:paraId="1270E97B" w14:textId="1BC8E8B4" w:rsidR="008D5531" w:rsidRPr="007C09B8" w:rsidRDefault="008D5531" w:rsidP="008D5531">
      <w:pPr>
        <w:jc w:val="center"/>
        <w:rPr>
          <w:b/>
          <w:sz w:val="26"/>
          <w:szCs w:val="26"/>
        </w:rPr>
      </w:pPr>
      <w:r w:rsidRPr="007C09B8">
        <w:rPr>
          <w:b/>
          <w:sz w:val="26"/>
          <w:szCs w:val="26"/>
        </w:rPr>
        <w:t xml:space="preserve">BTS </w:t>
      </w:r>
      <w:r w:rsidR="001A73A6">
        <w:rPr>
          <w:b/>
          <w:sz w:val="26"/>
          <w:szCs w:val="26"/>
        </w:rPr>
        <w:t>GESTION DE LA PME</w:t>
      </w:r>
    </w:p>
    <w:p w14:paraId="10B9C6CA" w14:textId="77777777" w:rsidR="008D5531" w:rsidRDefault="008D5531"/>
    <w:p w14:paraId="5CF21F9C" w14:textId="77777777" w:rsidR="008D5531" w:rsidRPr="007C09B8" w:rsidRDefault="0019620C">
      <w:pPr>
        <w:rPr>
          <w:b/>
          <w:sz w:val="24"/>
          <w:szCs w:val="24"/>
        </w:rPr>
      </w:pPr>
      <w:r w:rsidRPr="007C09B8">
        <w:rPr>
          <w:b/>
          <w:sz w:val="24"/>
          <w:szCs w:val="24"/>
        </w:rPr>
        <w:t>Objectifs généraux</w:t>
      </w:r>
    </w:p>
    <w:p w14:paraId="13C2CD8C" w14:textId="77777777" w:rsidR="001A73A6" w:rsidRPr="001A73A6" w:rsidRDefault="001A73A6" w:rsidP="001A73A6">
      <w:pPr>
        <w:spacing w:before="120"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Les périodes d’immersion en entreprise constituent, pour les étudiants, des moments privilégiés d’acquisition et de développement des compétences professionnelles et leur permettent de :</w:t>
      </w:r>
    </w:p>
    <w:p w14:paraId="3354217E" w14:textId="77777777" w:rsidR="001A73A6" w:rsidRPr="001A73A6" w:rsidRDefault="001A73A6" w:rsidP="001A73A6">
      <w:pPr>
        <w:numPr>
          <w:ilvl w:val="0"/>
          <w:numId w:val="6"/>
        </w:numPr>
        <w:spacing w:after="0" w:line="240" w:lineRule="auto"/>
        <w:jc w:val="both"/>
        <w:rPr>
          <w:rFonts w:ascii="Calibri" w:eastAsia="Times New Roman" w:hAnsi="Calibri" w:cs="Calibri"/>
          <w:sz w:val="20"/>
          <w:szCs w:val="20"/>
          <w:lang w:eastAsia="fr-FR"/>
        </w:rPr>
      </w:pPr>
      <w:proofErr w:type="gramStart"/>
      <w:r w:rsidRPr="001A73A6">
        <w:rPr>
          <w:rFonts w:ascii="Calibri" w:eastAsia="Times New Roman" w:hAnsi="Calibri" w:cs="Calibri"/>
          <w:sz w:val="20"/>
          <w:szCs w:val="20"/>
          <w:lang w:eastAsia="fr-FR"/>
        </w:rPr>
        <w:t>se</w:t>
      </w:r>
      <w:proofErr w:type="gramEnd"/>
      <w:r w:rsidRPr="001A73A6">
        <w:rPr>
          <w:rFonts w:ascii="Calibri" w:eastAsia="Times New Roman" w:hAnsi="Calibri" w:cs="Calibri"/>
          <w:sz w:val="20"/>
          <w:szCs w:val="20"/>
          <w:lang w:eastAsia="fr-FR"/>
        </w:rPr>
        <w:t xml:space="preserve"> </w:t>
      </w:r>
      <w:r w:rsidRPr="001A73A6">
        <w:rPr>
          <w:rFonts w:ascii="Calibri" w:eastAsia="Times New Roman" w:hAnsi="Calibri" w:cs="Calibri"/>
          <w:b/>
          <w:bCs/>
          <w:sz w:val="20"/>
          <w:szCs w:val="20"/>
          <w:lang w:eastAsia="fr-FR"/>
        </w:rPr>
        <w:t>repérer</w:t>
      </w:r>
      <w:r w:rsidRPr="001A73A6">
        <w:rPr>
          <w:rFonts w:ascii="Calibri" w:eastAsia="Times New Roman" w:hAnsi="Calibri" w:cs="Calibri"/>
          <w:sz w:val="20"/>
          <w:szCs w:val="20"/>
          <w:lang w:eastAsia="fr-FR"/>
        </w:rPr>
        <w:t xml:space="preserve">, </w:t>
      </w:r>
      <w:r w:rsidRPr="001A73A6">
        <w:rPr>
          <w:rFonts w:ascii="Calibri" w:eastAsia="Times New Roman" w:hAnsi="Calibri" w:cs="Calibri"/>
          <w:b/>
          <w:bCs/>
          <w:sz w:val="20"/>
          <w:szCs w:val="20"/>
          <w:lang w:eastAsia="fr-FR"/>
        </w:rPr>
        <w:t>agir et interagir</w:t>
      </w:r>
      <w:r w:rsidRPr="001A73A6">
        <w:rPr>
          <w:rFonts w:ascii="Calibri" w:eastAsia="Times New Roman" w:hAnsi="Calibri" w:cs="Calibri"/>
          <w:sz w:val="20"/>
          <w:szCs w:val="20"/>
          <w:lang w:eastAsia="fr-FR"/>
        </w:rPr>
        <w:t xml:space="preserve"> au sein de l'organisation ;</w:t>
      </w:r>
    </w:p>
    <w:p w14:paraId="3D95AA00" w14:textId="77777777" w:rsidR="001A73A6" w:rsidRPr="001A73A6" w:rsidRDefault="001A73A6" w:rsidP="001A73A6">
      <w:pPr>
        <w:numPr>
          <w:ilvl w:val="0"/>
          <w:numId w:val="6"/>
        </w:numPr>
        <w:spacing w:after="0" w:line="240" w:lineRule="auto"/>
        <w:jc w:val="both"/>
        <w:rPr>
          <w:rFonts w:ascii="Calibri" w:eastAsia="Times New Roman" w:hAnsi="Calibri" w:cs="Calibri"/>
          <w:sz w:val="20"/>
          <w:szCs w:val="20"/>
          <w:lang w:eastAsia="fr-FR"/>
        </w:rPr>
      </w:pPr>
      <w:proofErr w:type="gramStart"/>
      <w:r w:rsidRPr="001A73A6">
        <w:rPr>
          <w:rFonts w:ascii="Calibri" w:eastAsia="Times New Roman" w:hAnsi="Calibri" w:cs="Calibri"/>
          <w:b/>
          <w:bCs/>
          <w:sz w:val="20"/>
          <w:szCs w:val="20"/>
          <w:lang w:eastAsia="fr-FR"/>
        </w:rPr>
        <w:t>participer</w:t>
      </w:r>
      <w:proofErr w:type="gramEnd"/>
      <w:r w:rsidRPr="001A73A6">
        <w:rPr>
          <w:rFonts w:ascii="Calibri" w:eastAsia="Times New Roman" w:hAnsi="Calibri" w:cs="Calibri"/>
          <w:sz w:val="20"/>
          <w:szCs w:val="20"/>
          <w:lang w:eastAsia="fr-FR"/>
        </w:rPr>
        <w:t xml:space="preserve"> par des situations professionnelles réelles dans le contexte de la PME, </w:t>
      </w:r>
      <w:r w:rsidRPr="001A73A6">
        <w:rPr>
          <w:rFonts w:ascii="Calibri" w:eastAsia="Times New Roman" w:hAnsi="Calibri" w:cs="Calibri"/>
          <w:b/>
          <w:bCs/>
          <w:sz w:val="20"/>
          <w:szCs w:val="20"/>
          <w:lang w:eastAsia="fr-FR"/>
        </w:rPr>
        <w:t>suivre ou assister</w:t>
      </w:r>
      <w:r w:rsidRPr="001A73A6">
        <w:rPr>
          <w:rFonts w:ascii="Calibri" w:eastAsia="Times New Roman" w:hAnsi="Calibri" w:cs="Calibri"/>
          <w:sz w:val="20"/>
          <w:szCs w:val="20"/>
          <w:lang w:eastAsia="fr-FR"/>
        </w:rPr>
        <w:t xml:space="preserve"> le ou la responsable de l'entreprise dans ses prises de décision, dans la limite des responsabilités confiées aux étudiants ;</w:t>
      </w:r>
    </w:p>
    <w:p w14:paraId="31A7A9ED" w14:textId="77777777" w:rsidR="001A73A6" w:rsidRPr="001A73A6" w:rsidRDefault="001A73A6" w:rsidP="001A73A6">
      <w:pPr>
        <w:numPr>
          <w:ilvl w:val="0"/>
          <w:numId w:val="6"/>
        </w:numPr>
        <w:spacing w:after="0" w:line="240" w:lineRule="auto"/>
        <w:jc w:val="both"/>
        <w:rPr>
          <w:rFonts w:ascii="Calibri" w:eastAsia="Times New Roman" w:hAnsi="Calibri" w:cs="Calibri"/>
          <w:sz w:val="20"/>
          <w:szCs w:val="20"/>
          <w:lang w:eastAsia="fr-FR"/>
        </w:rPr>
      </w:pPr>
      <w:proofErr w:type="gramStart"/>
      <w:r w:rsidRPr="001A73A6">
        <w:rPr>
          <w:rFonts w:ascii="Calibri" w:eastAsia="Times New Roman" w:hAnsi="Calibri" w:cs="Calibri"/>
          <w:b/>
          <w:bCs/>
          <w:sz w:val="20"/>
          <w:szCs w:val="20"/>
          <w:lang w:eastAsia="fr-FR"/>
        </w:rPr>
        <w:t>développer</w:t>
      </w:r>
      <w:proofErr w:type="gramEnd"/>
      <w:r w:rsidRPr="001A73A6">
        <w:rPr>
          <w:rFonts w:ascii="Calibri" w:eastAsia="Times New Roman" w:hAnsi="Calibri" w:cs="Calibri"/>
          <w:sz w:val="20"/>
          <w:szCs w:val="20"/>
          <w:lang w:eastAsia="fr-FR"/>
        </w:rPr>
        <w:t xml:space="preserve"> des compétences professionnelles nécessaires à la gestion de la PME.</w:t>
      </w:r>
    </w:p>
    <w:p w14:paraId="416455A1" w14:textId="77777777" w:rsidR="007C09B8" w:rsidRPr="001A73A6" w:rsidRDefault="007C09B8" w:rsidP="001A73A6">
      <w:pPr>
        <w:rPr>
          <w:sz w:val="24"/>
          <w:szCs w:val="24"/>
        </w:rPr>
      </w:pPr>
    </w:p>
    <w:p w14:paraId="4135E837" w14:textId="34A45134" w:rsidR="007C09B8" w:rsidRPr="001A73A6" w:rsidRDefault="001A73A6" w:rsidP="007C09B8">
      <w:pPr>
        <w:ind w:left="720" w:hanging="720"/>
        <w:rPr>
          <w:b/>
          <w:sz w:val="24"/>
          <w:szCs w:val="24"/>
        </w:rPr>
      </w:pPr>
      <w:bookmarkStart w:id="1" w:name="_Hlk191907825"/>
      <w:r>
        <w:rPr>
          <w:b/>
          <w:sz w:val="24"/>
          <w:szCs w:val="24"/>
        </w:rPr>
        <w:t>M</w:t>
      </w:r>
      <w:r w:rsidRPr="001A73A6">
        <w:rPr>
          <w:b/>
          <w:sz w:val="24"/>
          <w:szCs w:val="24"/>
        </w:rPr>
        <w:t>issions d’</w:t>
      </w:r>
      <w:r>
        <w:rPr>
          <w:b/>
          <w:sz w:val="24"/>
          <w:szCs w:val="24"/>
        </w:rPr>
        <w:t>A</w:t>
      </w:r>
      <w:r w:rsidRPr="001A73A6">
        <w:rPr>
          <w:b/>
          <w:sz w:val="24"/>
          <w:szCs w:val="24"/>
        </w:rPr>
        <w:t xml:space="preserve">ssistance de </w:t>
      </w:r>
      <w:r>
        <w:rPr>
          <w:b/>
          <w:sz w:val="24"/>
          <w:szCs w:val="24"/>
        </w:rPr>
        <w:t>G</w:t>
      </w:r>
      <w:r w:rsidRPr="001A73A6">
        <w:rPr>
          <w:b/>
          <w:sz w:val="24"/>
          <w:szCs w:val="24"/>
        </w:rPr>
        <w:t>estion</w:t>
      </w:r>
      <w:r>
        <w:rPr>
          <w:b/>
          <w:sz w:val="24"/>
          <w:szCs w:val="24"/>
        </w:rPr>
        <w:t xml:space="preserve"> confiées en stage de 1</w:t>
      </w:r>
      <w:r w:rsidRPr="001A73A6">
        <w:rPr>
          <w:b/>
          <w:sz w:val="24"/>
          <w:szCs w:val="24"/>
        </w:rPr>
        <w:t>ère</w:t>
      </w:r>
      <w:r>
        <w:rPr>
          <w:b/>
          <w:sz w:val="24"/>
          <w:szCs w:val="24"/>
        </w:rPr>
        <w:t xml:space="preserve"> année :</w:t>
      </w:r>
    </w:p>
    <w:bookmarkEnd w:id="1"/>
    <w:p w14:paraId="6405C66E" w14:textId="77777777" w:rsidR="001A73A6" w:rsidRPr="001A73A6" w:rsidRDefault="001A73A6" w:rsidP="001A73A6">
      <w:p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 xml:space="preserve">Les étudiants en formation de technicien supérieur en « GESTION DE LA </w:t>
      </w:r>
      <w:proofErr w:type="gramStart"/>
      <w:r w:rsidRPr="001A73A6">
        <w:rPr>
          <w:rFonts w:ascii="Calibri" w:eastAsia="Times New Roman" w:hAnsi="Calibri" w:cs="Calibri"/>
          <w:sz w:val="20"/>
          <w:szCs w:val="20"/>
          <w:lang w:eastAsia="fr-FR"/>
        </w:rPr>
        <w:t>PME»</w:t>
      </w:r>
      <w:proofErr w:type="gramEnd"/>
      <w:r w:rsidRPr="001A73A6">
        <w:rPr>
          <w:rFonts w:ascii="Calibri" w:eastAsia="Times New Roman" w:hAnsi="Calibri" w:cs="Calibri"/>
          <w:sz w:val="20"/>
          <w:szCs w:val="20"/>
          <w:lang w:eastAsia="fr-FR"/>
        </w:rPr>
        <w:t xml:space="preserve"> peuvent réaliser tout ou partie de travaux concernant la </w:t>
      </w:r>
      <w:r w:rsidRPr="001A73A6">
        <w:rPr>
          <w:rFonts w:ascii="Calibri" w:eastAsia="Times New Roman" w:hAnsi="Calibri" w:cs="Calibri"/>
          <w:b/>
          <w:bCs/>
          <w:sz w:val="20"/>
          <w:szCs w:val="20"/>
          <w:lang w:eastAsia="fr-FR"/>
        </w:rPr>
        <w:t>gestion de la relation client et/ou de la relation fournisseur</w:t>
      </w:r>
      <w:r w:rsidRPr="001A73A6">
        <w:rPr>
          <w:rFonts w:ascii="Calibri" w:eastAsia="Times New Roman" w:hAnsi="Calibri" w:cs="Calibri"/>
          <w:sz w:val="20"/>
          <w:szCs w:val="20"/>
          <w:lang w:eastAsia="fr-FR"/>
        </w:rPr>
        <w:t>.</w:t>
      </w:r>
    </w:p>
    <w:p w14:paraId="551981CA" w14:textId="77777777" w:rsidR="001A73A6" w:rsidRPr="001A73A6" w:rsidRDefault="001A73A6" w:rsidP="001A73A6">
      <w:pPr>
        <w:spacing w:after="0" w:line="240" w:lineRule="auto"/>
        <w:jc w:val="both"/>
        <w:rPr>
          <w:rFonts w:ascii="Calibri" w:eastAsia="Times New Roman" w:hAnsi="Calibri" w:cs="Times New Roman"/>
          <w:sz w:val="12"/>
          <w:szCs w:val="12"/>
          <w:lang w:eastAsia="fr-FR"/>
        </w:rPr>
      </w:pPr>
    </w:p>
    <w:tbl>
      <w:tblPr>
        <w:tblW w:w="10206" w:type="dxa"/>
        <w:tblInd w:w="-5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37"/>
        <w:gridCol w:w="2127"/>
        <w:gridCol w:w="7442"/>
      </w:tblGrid>
      <w:tr w:rsidR="001A73A6" w:rsidRPr="001A73A6" w14:paraId="2FB8E35D" w14:textId="77777777" w:rsidTr="001A73A6">
        <w:tc>
          <w:tcPr>
            <w:tcW w:w="637" w:type="dxa"/>
            <w:vMerge w:val="restart"/>
            <w:shd w:val="clear" w:color="auto" w:fill="F2F2F2"/>
            <w:textDirection w:val="btLr"/>
            <w:vAlign w:val="center"/>
          </w:tcPr>
          <w:p w14:paraId="4E951061" w14:textId="77777777" w:rsidR="001A73A6" w:rsidRPr="001A73A6" w:rsidRDefault="001A73A6" w:rsidP="001A73A6">
            <w:pPr>
              <w:spacing w:after="0" w:line="240" w:lineRule="auto"/>
              <w:ind w:left="113" w:right="113"/>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RELATION CLIENTELE</w:t>
            </w:r>
          </w:p>
        </w:tc>
        <w:tc>
          <w:tcPr>
            <w:tcW w:w="2127" w:type="dxa"/>
            <w:vAlign w:val="center"/>
          </w:tcPr>
          <w:p w14:paraId="47A22597"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Rechercher et contacter la clientèle</w:t>
            </w:r>
          </w:p>
        </w:tc>
        <w:tc>
          <w:tcPr>
            <w:tcW w:w="7442" w:type="dxa"/>
          </w:tcPr>
          <w:p w14:paraId="3288EF38"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Organiser une opération de prospection clientèle </w:t>
            </w:r>
          </w:p>
          <w:p w14:paraId="4A4DF742"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Détecter et analyser des appels d’offre, contribuer à la procédure de candidature à un appel d’offre, suivre des appels d’offre</w:t>
            </w:r>
          </w:p>
          <w:p w14:paraId="2C13767F"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Communiquer avec les acteurs internes et les partenaires externes (prospects-clients, pouvoirs adjudicateurs, …)</w:t>
            </w:r>
          </w:p>
          <w:p w14:paraId="01B59F9C"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p>
        </w:tc>
      </w:tr>
      <w:tr w:rsidR="001A73A6" w:rsidRPr="001A73A6" w14:paraId="707ECF28" w14:textId="77777777" w:rsidTr="001A73A6">
        <w:tc>
          <w:tcPr>
            <w:tcW w:w="637" w:type="dxa"/>
            <w:vMerge/>
            <w:shd w:val="clear" w:color="auto" w:fill="F2F2F2"/>
            <w:vAlign w:val="center"/>
          </w:tcPr>
          <w:p w14:paraId="62F72966"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p>
        </w:tc>
        <w:tc>
          <w:tcPr>
            <w:tcW w:w="2127" w:type="dxa"/>
            <w:vAlign w:val="center"/>
          </w:tcPr>
          <w:p w14:paraId="3EFC0AE4"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Administrer les ventes</w:t>
            </w:r>
          </w:p>
        </w:tc>
        <w:tc>
          <w:tcPr>
            <w:tcW w:w="7442" w:type="dxa"/>
          </w:tcPr>
          <w:p w14:paraId="663AA8B0"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Préparer des propositions commerciales </w:t>
            </w:r>
          </w:p>
          <w:p w14:paraId="73665C4C"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Préparer des contrats commerciaux (commande, maintenance, garanties complémentaires …)</w:t>
            </w:r>
          </w:p>
          <w:p w14:paraId="38EFD32F"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Suivre les ventes (les commandes et les livraisons)</w:t>
            </w:r>
          </w:p>
          <w:p w14:paraId="63858A6A"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Facturer les ventes </w:t>
            </w:r>
          </w:p>
          <w:p w14:paraId="151BE445"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Suivre les règlements clients et les relances clients</w:t>
            </w:r>
          </w:p>
          <w:p w14:paraId="6A10E3C9"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Evaluer le « risque client »</w:t>
            </w:r>
          </w:p>
          <w:p w14:paraId="24FF831E"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Mettre à jour le Système d’information « client »</w:t>
            </w:r>
          </w:p>
          <w:p w14:paraId="7955DB5B"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Communiquer avec les acteurs internes et les partenaires externes (les clients …)</w:t>
            </w:r>
          </w:p>
          <w:p w14:paraId="6DCD1A82"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p>
        </w:tc>
      </w:tr>
      <w:tr w:rsidR="001A73A6" w:rsidRPr="001A73A6" w14:paraId="39FA4086" w14:textId="77777777" w:rsidTr="001A73A6">
        <w:tc>
          <w:tcPr>
            <w:tcW w:w="637" w:type="dxa"/>
            <w:vMerge/>
            <w:shd w:val="clear" w:color="auto" w:fill="F2F2F2"/>
            <w:vAlign w:val="center"/>
          </w:tcPr>
          <w:p w14:paraId="4BDE1AF4"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p>
        </w:tc>
        <w:tc>
          <w:tcPr>
            <w:tcW w:w="2127" w:type="dxa"/>
            <w:vAlign w:val="center"/>
          </w:tcPr>
          <w:p w14:paraId="22BCF25C"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Comptabiliser les ventes</w:t>
            </w:r>
          </w:p>
        </w:tc>
        <w:tc>
          <w:tcPr>
            <w:tcW w:w="7442" w:type="dxa"/>
          </w:tcPr>
          <w:p w14:paraId="45AA8698"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Contrôler l’enregistrement comptable des opérations de vente et de règlement </w:t>
            </w:r>
          </w:p>
        </w:tc>
      </w:tr>
      <w:tr w:rsidR="001A73A6" w:rsidRPr="001A73A6" w14:paraId="667D3F8D" w14:textId="77777777" w:rsidTr="001A73A6">
        <w:tc>
          <w:tcPr>
            <w:tcW w:w="637" w:type="dxa"/>
            <w:vMerge/>
            <w:shd w:val="clear" w:color="auto" w:fill="F2F2F2"/>
            <w:vAlign w:val="center"/>
          </w:tcPr>
          <w:p w14:paraId="508A1D36"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p>
        </w:tc>
        <w:tc>
          <w:tcPr>
            <w:tcW w:w="2127" w:type="dxa"/>
            <w:vAlign w:val="center"/>
          </w:tcPr>
          <w:p w14:paraId="5D8F73DC"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Maintenir et développer de la relation clientèle</w:t>
            </w:r>
          </w:p>
        </w:tc>
        <w:tc>
          <w:tcPr>
            <w:tcW w:w="7442" w:type="dxa"/>
          </w:tcPr>
          <w:p w14:paraId="635CB78E"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Accueillir et conseiller les clients</w:t>
            </w:r>
          </w:p>
          <w:p w14:paraId="76FAAD5B" w14:textId="77777777" w:rsidR="001A73A6" w:rsidRPr="001A73A6" w:rsidRDefault="001A73A6" w:rsidP="001A73A6">
            <w:pPr>
              <w:spacing w:after="0" w:line="240" w:lineRule="auto"/>
              <w:jc w:val="both"/>
              <w:rPr>
                <w:rFonts w:ascii="Calibri" w:eastAsia="Times New Roman" w:hAnsi="Calibri" w:cs="Arial"/>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w:t>
            </w:r>
            <w:r w:rsidRPr="001A73A6">
              <w:rPr>
                <w:rFonts w:ascii="Calibri" w:eastAsia="Times New Roman" w:hAnsi="Calibri" w:cs="Arial"/>
                <w:sz w:val="18"/>
                <w:szCs w:val="18"/>
                <w:lang w:eastAsia="fr-FR"/>
              </w:rPr>
              <w:t xml:space="preserve">Traiter et suivre les réclamations clients </w:t>
            </w:r>
          </w:p>
          <w:p w14:paraId="09D9760C"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Communiquer pour développer la relation client</w:t>
            </w:r>
          </w:p>
          <w:p w14:paraId="769252BE"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p>
        </w:tc>
      </w:tr>
      <w:tr w:rsidR="001A73A6" w:rsidRPr="001A73A6" w14:paraId="64680396" w14:textId="77777777" w:rsidTr="001A73A6">
        <w:tc>
          <w:tcPr>
            <w:tcW w:w="637" w:type="dxa"/>
            <w:vMerge w:val="restart"/>
            <w:shd w:val="clear" w:color="auto" w:fill="F2F2F2"/>
            <w:textDirection w:val="btLr"/>
            <w:vAlign w:val="center"/>
          </w:tcPr>
          <w:p w14:paraId="6DFC003A" w14:textId="77777777" w:rsidR="001A73A6" w:rsidRPr="001A73A6" w:rsidRDefault="001A73A6" w:rsidP="001A73A6">
            <w:pPr>
              <w:spacing w:after="0" w:line="240" w:lineRule="auto"/>
              <w:ind w:left="113" w:right="113"/>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RELATION   FOURNISSEUR</w:t>
            </w:r>
          </w:p>
        </w:tc>
        <w:tc>
          <w:tcPr>
            <w:tcW w:w="2127" w:type="dxa"/>
            <w:vAlign w:val="center"/>
          </w:tcPr>
          <w:p w14:paraId="77A1A282"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Rechercher et choisir des fournisseurs</w:t>
            </w:r>
          </w:p>
        </w:tc>
        <w:tc>
          <w:tcPr>
            <w:tcW w:w="7442" w:type="dxa"/>
          </w:tcPr>
          <w:p w14:paraId="0EE455BB"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Etudier les projets d’achat et d’investissement</w:t>
            </w:r>
          </w:p>
          <w:p w14:paraId="68B9AE30"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Rechercher des fournisseurs</w:t>
            </w:r>
          </w:p>
          <w:p w14:paraId="365C5DAD"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Comparer les offres, sélectionner et qualifier (référencer) les fournisseurs </w:t>
            </w:r>
          </w:p>
          <w:p w14:paraId="10828174"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Mettre à jour le Système d’information « fournisseur »</w:t>
            </w:r>
          </w:p>
          <w:p w14:paraId="79ACFD2E"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Communiquer avec les acteurs internes et les partenaires externes (les fournisseurs …)</w:t>
            </w:r>
          </w:p>
          <w:p w14:paraId="7C79B6D5"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p>
        </w:tc>
      </w:tr>
      <w:tr w:rsidR="001A73A6" w:rsidRPr="001A73A6" w14:paraId="6A484456" w14:textId="77777777" w:rsidTr="001A73A6">
        <w:tc>
          <w:tcPr>
            <w:tcW w:w="637" w:type="dxa"/>
            <w:vMerge/>
            <w:shd w:val="clear" w:color="auto" w:fill="F2F2F2"/>
            <w:vAlign w:val="center"/>
          </w:tcPr>
          <w:p w14:paraId="055E753A"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p>
        </w:tc>
        <w:tc>
          <w:tcPr>
            <w:tcW w:w="2127" w:type="dxa"/>
            <w:vAlign w:val="center"/>
          </w:tcPr>
          <w:p w14:paraId="13C3DC7C"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Administrer les achats</w:t>
            </w:r>
          </w:p>
        </w:tc>
        <w:tc>
          <w:tcPr>
            <w:tcW w:w="7442" w:type="dxa"/>
          </w:tcPr>
          <w:p w14:paraId="5BEE2D2E"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Préparer la négociation des contrats </w:t>
            </w:r>
          </w:p>
          <w:p w14:paraId="5B481706"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Passer et suivre les commandes auprès des fournisseurs</w:t>
            </w:r>
          </w:p>
          <w:p w14:paraId="77A82ECC"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Acquérir et suivre les immobilisations</w:t>
            </w:r>
          </w:p>
          <w:p w14:paraId="0A183E5A"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Suivre les règlements fournisseurs</w:t>
            </w:r>
          </w:p>
          <w:p w14:paraId="5F1CA815" w14:textId="77777777" w:rsidR="001A73A6" w:rsidRPr="001A73A6" w:rsidRDefault="001A73A6" w:rsidP="001A73A6">
            <w:pPr>
              <w:spacing w:after="0" w:line="240" w:lineRule="auto"/>
              <w:jc w:val="both"/>
              <w:rPr>
                <w:rFonts w:ascii="Calibri" w:eastAsia="Arial Unicode MS"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w:t>
            </w:r>
            <w:r w:rsidRPr="001A73A6">
              <w:rPr>
                <w:rFonts w:ascii="Calibri" w:eastAsia="Arial Unicode MS" w:hAnsi="Calibri" w:cs="Times New Roman"/>
                <w:sz w:val="18"/>
                <w:szCs w:val="18"/>
                <w:lang w:eastAsia="fr-FR"/>
              </w:rPr>
              <w:t>Evaluer les « performances » des fournisseurs</w:t>
            </w:r>
            <w:r w:rsidRPr="001A73A6">
              <w:rPr>
                <w:rFonts w:ascii="Calibri" w:eastAsia="Times New Roman" w:hAnsi="Calibri" w:cs="Times New Roman"/>
                <w:sz w:val="18"/>
                <w:szCs w:val="18"/>
                <w:lang w:eastAsia="fr-FR"/>
              </w:rPr>
              <w:t xml:space="preserve"> </w:t>
            </w:r>
          </w:p>
          <w:p w14:paraId="69691FF8"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Communiquer avec les acteurs internes et les partenaires externes (les fournisseurs, les partenaires financiers …)</w:t>
            </w:r>
          </w:p>
          <w:p w14:paraId="00FC4DFB"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p>
        </w:tc>
      </w:tr>
      <w:tr w:rsidR="001A73A6" w:rsidRPr="001A73A6" w14:paraId="24C40D05" w14:textId="77777777" w:rsidTr="001A73A6">
        <w:tc>
          <w:tcPr>
            <w:tcW w:w="637" w:type="dxa"/>
            <w:vMerge/>
            <w:shd w:val="clear" w:color="auto" w:fill="F2F2F2"/>
            <w:vAlign w:val="center"/>
          </w:tcPr>
          <w:p w14:paraId="7172933F"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p>
        </w:tc>
        <w:tc>
          <w:tcPr>
            <w:tcW w:w="2127" w:type="dxa"/>
            <w:vAlign w:val="center"/>
          </w:tcPr>
          <w:p w14:paraId="5387D4CB"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Comptabiliser les achats</w:t>
            </w:r>
          </w:p>
        </w:tc>
        <w:tc>
          <w:tcPr>
            <w:tcW w:w="7442" w:type="dxa"/>
          </w:tcPr>
          <w:p w14:paraId="1CFB41CC"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Contrôler l’enregistrement comptable des opérations d’achat </w:t>
            </w:r>
            <w:proofErr w:type="gramStart"/>
            <w:r w:rsidRPr="001A73A6">
              <w:rPr>
                <w:rFonts w:ascii="Calibri" w:eastAsia="Times New Roman" w:hAnsi="Calibri" w:cs="Times New Roman"/>
                <w:sz w:val="18"/>
                <w:szCs w:val="18"/>
                <w:lang w:eastAsia="fr-FR"/>
              </w:rPr>
              <w:t>et  de</w:t>
            </w:r>
            <w:proofErr w:type="gramEnd"/>
            <w:r w:rsidRPr="001A73A6">
              <w:rPr>
                <w:rFonts w:ascii="Calibri" w:eastAsia="Times New Roman" w:hAnsi="Calibri" w:cs="Times New Roman"/>
                <w:sz w:val="18"/>
                <w:szCs w:val="18"/>
                <w:lang w:eastAsia="fr-FR"/>
              </w:rPr>
              <w:t xml:space="preserve"> règlement </w:t>
            </w:r>
          </w:p>
          <w:p w14:paraId="6E17DE9D"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p>
        </w:tc>
      </w:tr>
      <w:tr w:rsidR="001A73A6" w:rsidRPr="001A73A6" w14:paraId="717FE335" w14:textId="77777777" w:rsidTr="001A73A6">
        <w:trPr>
          <w:cantSplit/>
          <w:trHeight w:val="1134"/>
        </w:trPr>
        <w:tc>
          <w:tcPr>
            <w:tcW w:w="637" w:type="dxa"/>
            <w:shd w:val="clear" w:color="auto" w:fill="F2F2F2"/>
            <w:textDirection w:val="btLr"/>
            <w:vAlign w:val="center"/>
          </w:tcPr>
          <w:p w14:paraId="10344685" w14:textId="77777777" w:rsidR="001A73A6" w:rsidRPr="001A73A6" w:rsidRDefault="001A73A6" w:rsidP="001A73A6">
            <w:pPr>
              <w:spacing w:after="0" w:line="240" w:lineRule="auto"/>
              <w:ind w:left="113" w:right="113"/>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AUTRES</w:t>
            </w:r>
          </w:p>
          <w:p w14:paraId="40821DA7" w14:textId="77777777" w:rsidR="001A73A6" w:rsidRPr="001A73A6" w:rsidRDefault="001A73A6" w:rsidP="001A73A6">
            <w:pPr>
              <w:spacing w:after="0" w:line="240" w:lineRule="auto"/>
              <w:ind w:left="113" w:right="113"/>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COMPTA</w:t>
            </w:r>
          </w:p>
        </w:tc>
        <w:tc>
          <w:tcPr>
            <w:tcW w:w="2127" w:type="dxa"/>
            <w:vAlign w:val="center"/>
          </w:tcPr>
          <w:p w14:paraId="5AB8787E"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Préparer</w:t>
            </w:r>
          </w:p>
          <w:p w14:paraId="71F35808" w14:textId="77777777" w:rsidR="001A73A6" w:rsidRPr="001A73A6" w:rsidRDefault="001A73A6" w:rsidP="001A73A6">
            <w:pPr>
              <w:spacing w:after="0" w:line="240" w:lineRule="auto"/>
              <w:jc w:val="center"/>
              <w:rPr>
                <w:rFonts w:ascii="Calibri" w:eastAsia="Times New Roman" w:hAnsi="Calibri" w:cs="Times New Roman"/>
                <w:b/>
                <w:sz w:val="18"/>
                <w:szCs w:val="18"/>
                <w:lang w:eastAsia="fr-FR"/>
              </w:rPr>
            </w:pPr>
            <w:r w:rsidRPr="001A73A6">
              <w:rPr>
                <w:rFonts w:ascii="Calibri" w:eastAsia="Times New Roman" w:hAnsi="Calibri" w:cs="Times New Roman"/>
                <w:b/>
                <w:sz w:val="18"/>
                <w:szCs w:val="18"/>
                <w:lang w:eastAsia="fr-FR"/>
              </w:rPr>
              <w:t>Suivre</w:t>
            </w:r>
          </w:p>
        </w:tc>
        <w:tc>
          <w:tcPr>
            <w:tcW w:w="7442" w:type="dxa"/>
          </w:tcPr>
          <w:p w14:paraId="1F851814"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Préparer et contrôler la déclaration de TVA</w:t>
            </w:r>
          </w:p>
          <w:p w14:paraId="4FF983C4"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Suivre les relations avec les banques  </w:t>
            </w:r>
          </w:p>
          <w:p w14:paraId="3240E180"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Suivre la trésorerie des comptes de tiers, des encaissements et des décaissements</w:t>
            </w:r>
          </w:p>
          <w:p w14:paraId="7E17C988"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r w:rsidRPr="001A73A6">
              <w:rPr>
                <w:rFonts w:ascii="Calibri" w:eastAsia="Times New Roman" w:hAnsi="Calibri" w:cs="Times New Roman"/>
                <w:sz w:val="18"/>
                <w:szCs w:val="18"/>
                <w:lang w:eastAsia="fr-FR"/>
              </w:rPr>
              <w:sym w:font="Wingdings 3" w:char="F075"/>
            </w:r>
            <w:r w:rsidRPr="001A73A6">
              <w:rPr>
                <w:rFonts w:ascii="Calibri" w:eastAsia="Times New Roman" w:hAnsi="Calibri" w:cs="Times New Roman"/>
                <w:sz w:val="18"/>
                <w:szCs w:val="18"/>
                <w:lang w:eastAsia="fr-FR"/>
              </w:rPr>
              <w:t xml:space="preserve"> Evaluer et suivre les risques liés aux échanges internationaux </w:t>
            </w:r>
          </w:p>
          <w:p w14:paraId="719B6508" w14:textId="77777777" w:rsidR="001A73A6" w:rsidRPr="001A73A6" w:rsidRDefault="001A73A6" w:rsidP="001A73A6">
            <w:pPr>
              <w:spacing w:after="0" w:line="240" w:lineRule="auto"/>
              <w:jc w:val="both"/>
              <w:rPr>
                <w:rFonts w:ascii="Calibri" w:eastAsia="Times New Roman" w:hAnsi="Calibri" w:cs="Times New Roman"/>
                <w:sz w:val="18"/>
                <w:szCs w:val="18"/>
                <w:lang w:eastAsia="fr-FR"/>
              </w:rPr>
            </w:pPr>
          </w:p>
        </w:tc>
      </w:tr>
    </w:tbl>
    <w:p w14:paraId="48335370" w14:textId="77777777" w:rsidR="001A73A6" w:rsidRDefault="001A73A6" w:rsidP="001A73A6">
      <w:pPr>
        <w:spacing w:before="120" w:after="0" w:line="240" w:lineRule="auto"/>
        <w:jc w:val="both"/>
        <w:rPr>
          <w:rFonts w:ascii="Calibri" w:eastAsia="Times New Roman" w:hAnsi="Calibri" w:cs="Calibri"/>
          <w:sz w:val="20"/>
          <w:szCs w:val="20"/>
          <w:lang w:eastAsia="fr-FR"/>
        </w:rPr>
      </w:pPr>
      <w:r w:rsidRPr="001A73A6">
        <w:rPr>
          <w:b/>
          <w:sz w:val="24"/>
          <w:szCs w:val="24"/>
        </w:rPr>
        <w:lastRenderedPageBreak/>
        <w:t>Projet mené en stage en 2ème année </w:t>
      </w:r>
      <w:bookmarkStart w:id="2" w:name="_Hlk17278744"/>
      <w:r w:rsidRPr="001A73A6">
        <w:rPr>
          <w:b/>
          <w:sz w:val="24"/>
          <w:szCs w:val="24"/>
        </w:rPr>
        <w:t>:</w:t>
      </w:r>
      <w:r>
        <w:rPr>
          <w:rFonts w:ascii="Calibri" w:eastAsia="Times New Roman" w:hAnsi="Calibri" w:cs="Calibri"/>
          <w:sz w:val="20"/>
          <w:szCs w:val="20"/>
          <w:lang w:eastAsia="fr-FR"/>
        </w:rPr>
        <w:t xml:space="preserve"> </w:t>
      </w:r>
    </w:p>
    <w:p w14:paraId="63CDFB2E" w14:textId="0E680924" w:rsidR="001A73A6" w:rsidRPr="001A73A6" w:rsidRDefault="001A73A6" w:rsidP="001A73A6">
      <w:pPr>
        <w:spacing w:before="120" w:after="0" w:line="240" w:lineRule="auto"/>
        <w:jc w:val="both"/>
        <w:rPr>
          <w:bCs/>
          <w:sz w:val="24"/>
          <w:szCs w:val="24"/>
        </w:rPr>
      </w:pPr>
      <w:r w:rsidRPr="001A73A6">
        <w:rPr>
          <w:b/>
          <w:sz w:val="24"/>
          <w:szCs w:val="24"/>
        </w:rPr>
        <w:t xml:space="preserve">Participation à la gestion des risques de la PME </w:t>
      </w:r>
      <w:bookmarkEnd w:id="2"/>
      <w:r w:rsidRPr="001A73A6">
        <w:rPr>
          <w:bCs/>
          <w:sz w:val="24"/>
          <w:szCs w:val="24"/>
        </w:rPr>
        <w:t>ayant ou pouvant avoir, une incidence sur son fonctionnement et son développement.</w:t>
      </w:r>
    </w:p>
    <w:p w14:paraId="702A1017" w14:textId="77777777" w:rsidR="001A73A6" w:rsidRPr="001A73A6" w:rsidRDefault="001A73A6" w:rsidP="001A73A6">
      <w:pPr>
        <w:spacing w:before="120" w:after="0" w:line="240" w:lineRule="auto"/>
        <w:jc w:val="both"/>
        <w:rPr>
          <w:rFonts w:ascii="Calibri" w:eastAsia="Times New Roman" w:hAnsi="Calibri" w:cs="Calibri"/>
          <w:b/>
          <w:sz w:val="20"/>
          <w:szCs w:val="20"/>
          <w:lang w:eastAsia="fr-FR"/>
        </w:rPr>
      </w:pPr>
    </w:p>
    <w:tbl>
      <w:tblPr>
        <w:tblW w:w="970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37"/>
        <w:gridCol w:w="2127"/>
        <w:gridCol w:w="6945"/>
      </w:tblGrid>
      <w:tr w:rsidR="001A73A6" w:rsidRPr="001A73A6" w14:paraId="0A1D746D" w14:textId="77777777" w:rsidTr="001A73A6">
        <w:tc>
          <w:tcPr>
            <w:tcW w:w="637" w:type="dxa"/>
            <w:vMerge w:val="restart"/>
            <w:shd w:val="clear" w:color="auto" w:fill="548DD4"/>
            <w:textDirection w:val="btLr"/>
            <w:vAlign w:val="center"/>
          </w:tcPr>
          <w:p w14:paraId="18B83047" w14:textId="77777777" w:rsidR="001A73A6" w:rsidRPr="001A73A6" w:rsidRDefault="001A73A6" w:rsidP="001A73A6">
            <w:pPr>
              <w:spacing w:after="0" w:line="240" w:lineRule="auto"/>
              <w:ind w:left="113" w:right="113"/>
              <w:jc w:val="center"/>
              <w:rPr>
                <w:rFonts w:ascii="Calibri" w:eastAsia="Times New Roman" w:hAnsi="Calibri" w:cs="Calibri"/>
                <w:b/>
                <w:sz w:val="20"/>
                <w:szCs w:val="20"/>
                <w:lang w:eastAsia="fr-FR"/>
              </w:rPr>
            </w:pPr>
            <w:r w:rsidRPr="001A73A6">
              <w:rPr>
                <w:rFonts w:ascii="Calibri" w:eastAsia="Times New Roman" w:hAnsi="Calibri" w:cs="Calibri"/>
                <w:sz w:val="20"/>
                <w:szCs w:val="20"/>
                <w:lang w:eastAsia="fr-FR"/>
              </w:rPr>
              <w:t>Participer à la gestion des risques de la PME</w:t>
            </w:r>
          </w:p>
        </w:tc>
        <w:tc>
          <w:tcPr>
            <w:tcW w:w="2127" w:type="dxa"/>
          </w:tcPr>
          <w:p w14:paraId="6D20D940" w14:textId="77777777" w:rsidR="001A73A6" w:rsidRPr="001A73A6" w:rsidRDefault="001A73A6" w:rsidP="001A73A6">
            <w:p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b/>
                <w:bCs/>
                <w:color w:val="000000"/>
                <w:sz w:val="20"/>
                <w:szCs w:val="20"/>
                <w:lang w:eastAsia="fr-FR"/>
              </w:rPr>
              <w:t xml:space="preserve">Participation à la gestion des risques financiers </w:t>
            </w:r>
          </w:p>
          <w:p w14:paraId="203B54B4" w14:textId="77777777" w:rsidR="001A73A6" w:rsidRPr="001A73A6" w:rsidRDefault="001A73A6" w:rsidP="001A73A6">
            <w:pPr>
              <w:spacing w:before="60" w:after="0" w:line="240" w:lineRule="auto"/>
              <w:jc w:val="both"/>
              <w:rPr>
                <w:rFonts w:ascii="Calibri" w:eastAsia="Times New Roman" w:hAnsi="Calibri" w:cs="Calibri"/>
                <w:b/>
                <w:sz w:val="20"/>
                <w:szCs w:val="20"/>
                <w:lang w:eastAsia="fr-FR"/>
              </w:rPr>
            </w:pPr>
          </w:p>
        </w:tc>
        <w:tc>
          <w:tcPr>
            <w:tcW w:w="6945" w:type="dxa"/>
          </w:tcPr>
          <w:p w14:paraId="1F2D38F6"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Identification des échéances à court et moyen terme</w:t>
            </w:r>
          </w:p>
          <w:p w14:paraId="24EEF85B"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Suivi des flux de trésorerie</w:t>
            </w:r>
          </w:p>
          <w:p w14:paraId="7EBA7D5E"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Évaluation des risques financiers à court et moyen terme</w:t>
            </w:r>
          </w:p>
          <w:p w14:paraId="536875D6"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Proposition de solutions</w:t>
            </w:r>
          </w:p>
          <w:p w14:paraId="697D61CA"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 xml:space="preserve">Mise en œuvre et suivi des actions validées </w:t>
            </w:r>
          </w:p>
        </w:tc>
      </w:tr>
      <w:tr w:rsidR="001A73A6" w:rsidRPr="001A73A6" w14:paraId="6E867FAD" w14:textId="77777777" w:rsidTr="001A73A6">
        <w:tc>
          <w:tcPr>
            <w:tcW w:w="637" w:type="dxa"/>
            <w:vMerge/>
            <w:shd w:val="clear" w:color="auto" w:fill="548DD4"/>
            <w:vAlign w:val="center"/>
          </w:tcPr>
          <w:p w14:paraId="27083E9C" w14:textId="77777777" w:rsidR="001A73A6" w:rsidRPr="001A73A6" w:rsidRDefault="001A73A6" w:rsidP="001A73A6">
            <w:pPr>
              <w:spacing w:after="0" w:line="240" w:lineRule="auto"/>
              <w:jc w:val="center"/>
              <w:rPr>
                <w:rFonts w:ascii="Calibri" w:eastAsia="Times New Roman" w:hAnsi="Calibri" w:cs="Calibri"/>
                <w:b/>
                <w:sz w:val="20"/>
                <w:szCs w:val="20"/>
                <w:lang w:eastAsia="fr-FR"/>
              </w:rPr>
            </w:pPr>
          </w:p>
        </w:tc>
        <w:tc>
          <w:tcPr>
            <w:tcW w:w="2127" w:type="dxa"/>
          </w:tcPr>
          <w:p w14:paraId="0256A551" w14:textId="77777777" w:rsidR="001A73A6" w:rsidRPr="001A73A6" w:rsidRDefault="001A73A6" w:rsidP="001A73A6">
            <w:pPr>
              <w:spacing w:before="60" w:after="0" w:line="240" w:lineRule="auto"/>
              <w:jc w:val="both"/>
              <w:rPr>
                <w:rFonts w:ascii="Calibri" w:eastAsia="Times New Roman" w:hAnsi="Calibri" w:cs="Calibri"/>
                <w:b/>
                <w:sz w:val="20"/>
                <w:szCs w:val="20"/>
                <w:lang w:eastAsia="fr-FR"/>
              </w:rPr>
            </w:pPr>
            <w:r w:rsidRPr="001A73A6">
              <w:rPr>
                <w:rFonts w:ascii="Calibri" w:eastAsia="Times New Roman" w:hAnsi="Calibri" w:cs="Calibri"/>
                <w:b/>
                <w:bCs/>
                <w:color w:val="000000"/>
                <w:sz w:val="20"/>
                <w:szCs w:val="20"/>
                <w:lang w:eastAsia="fr-FR"/>
              </w:rPr>
              <w:t>Participation à la gestion des risques non financiers de la PME</w:t>
            </w:r>
          </w:p>
        </w:tc>
        <w:tc>
          <w:tcPr>
            <w:tcW w:w="6945" w:type="dxa"/>
          </w:tcPr>
          <w:p w14:paraId="5110C235"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Gestion des risques liés à la santé, à l'hygiène et à la sécurité au travail</w:t>
            </w:r>
          </w:p>
          <w:p w14:paraId="0AF7446D"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Gestion des risques liés à la protection des personnes, des biens et des droits</w:t>
            </w:r>
          </w:p>
          <w:p w14:paraId="4B08B38F"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Gestion des risques environnementaux</w:t>
            </w:r>
          </w:p>
          <w:p w14:paraId="27DD4400"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Gestion des risques informatiques et des risques liés aux données</w:t>
            </w:r>
          </w:p>
        </w:tc>
      </w:tr>
      <w:tr w:rsidR="001A73A6" w:rsidRPr="001A73A6" w14:paraId="344FF5BA" w14:textId="77777777" w:rsidTr="001A73A6">
        <w:trPr>
          <w:trHeight w:val="1751"/>
        </w:trPr>
        <w:tc>
          <w:tcPr>
            <w:tcW w:w="637" w:type="dxa"/>
            <w:vMerge/>
            <w:shd w:val="clear" w:color="auto" w:fill="548DD4"/>
            <w:vAlign w:val="center"/>
          </w:tcPr>
          <w:p w14:paraId="38DCFB38" w14:textId="77777777" w:rsidR="001A73A6" w:rsidRPr="001A73A6" w:rsidRDefault="001A73A6" w:rsidP="001A73A6">
            <w:pPr>
              <w:spacing w:after="0" w:line="240" w:lineRule="auto"/>
              <w:jc w:val="center"/>
              <w:rPr>
                <w:rFonts w:ascii="Calibri" w:eastAsia="Times New Roman" w:hAnsi="Calibri" w:cs="Calibri"/>
                <w:b/>
                <w:sz w:val="20"/>
                <w:szCs w:val="20"/>
                <w:lang w:eastAsia="fr-FR"/>
              </w:rPr>
            </w:pPr>
          </w:p>
        </w:tc>
        <w:tc>
          <w:tcPr>
            <w:tcW w:w="2127" w:type="dxa"/>
          </w:tcPr>
          <w:p w14:paraId="109E786D" w14:textId="77777777" w:rsidR="001A73A6" w:rsidRPr="001A73A6" w:rsidRDefault="001A73A6" w:rsidP="001A73A6">
            <w:pPr>
              <w:autoSpaceDE w:val="0"/>
              <w:autoSpaceDN w:val="0"/>
              <w:adjustRightInd w:val="0"/>
              <w:spacing w:after="0" w:line="240" w:lineRule="auto"/>
              <w:jc w:val="both"/>
              <w:rPr>
                <w:rFonts w:ascii="Calibri" w:eastAsia="Times New Roman" w:hAnsi="Calibri" w:cs="Calibri"/>
                <w:b/>
                <w:bCs/>
                <w:color w:val="000000"/>
                <w:sz w:val="20"/>
                <w:szCs w:val="20"/>
                <w:lang w:eastAsia="fr-FR"/>
              </w:rPr>
            </w:pPr>
            <w:r w:rsidRPr="001A73A6">
              <w:rPr>
                <w:rFonts w:ascii="Calibri" w:eastAsia="Times New Roman" w:hAnsi="Calibri" w:cs="Calibri"/>
                <w:b/>
                <w:bCs/>
                <w:color w:val="000000"/>
                <w:sz w:val="20"/>
                <w:szCs w:val="20"/>
                <w:lang w:eastAsia="fr-FR"/>
              </w:rPr>
              <w:t>Mise en place d’une démarche qualité au sein de la PME</w:t>
            </w:r>
          </w:p>
          <w:p w14:paraId="2A7EA259" w14:textId="77777777" w:rsidR="001A73A6" w:rsidRPr="001A73A6" w:rsidRDefault="001A73A6" w:rsidP="001A73A6">
            <w:pPr>
              <w:spacing w:before="60" w:after="60" w:line="240" w:lineRule="auto"/>
              <w:jc w:val="both"/>
              <w:rPr>
                <w:rFonts w:ascii="Calibri" w:eastAsia="Times New Roman" w:hAnsi="Calibri" w:cs="Calibri"/>
                <w:b/>
                <w:sz w:val="20"/>
                <w:szCs w:val="20"/>
                <w:lang w:eastAsia="fr-FR"/>
              </w:rPr>
            </w:pPr>
          </w:p>
        </w:tc>
        <w:tc>
          <w:tcPr>
            <w:tcW w:w="6945" w:type="dxa"/>
          </w:tcPr>
          <w:p w14:paraId="57270560"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Analyse de l’existant</w:t>
            </w:r>
          </w:p>
          <w:p w14:paraId="0F0613F0"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Formalisation, diffusion, contrôle, et amélioration des procédures</w:t>
            </w:r>
          </w:p>
          <w:p w14:paraId="77378C6A"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color w:val="000000"/>
                <w:sz w:val="20"/>
                <w:szCs w:val="20"/>
                <w:lang w:eastAsia="fr-FR"/>
              </w:rPr>
            </w:pPr>
            <w:r w:rsidRPr="001A73A6">
              <w:rPr>
                <w:rFonts w:ascii="Calibri" w:eastAsia="Times New Roman" w:hAnsi="Calibri" w:cs="Calibri"/>
                <w:color w:val="000000"/>
                <w:sz w:val="20"/>
                <w:szCs w:val="20"/>
                <w:lang w:eastAsia="fr-FR"/>
              </w:rPr>
              <w:t>Participation à la mise en place de procédures de gestion des connaissances</w:t>
            </w:r>
          </w:p>
          <w:p w14:paraId="2912C17C"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sz w:val="24"/>
                <w:szCs w:val="24"/>
                <w:lang w:eastAsia="fr-FR"/>
              </w:rPr>
            </w:pPr>
            <w:r w:rsidRPr="001A73A6">
              <w:rPr>
                <w:rFonts w:ascii="Calibri" w:eastAsia="Times New Roman" w:hAnsi="Calibri" w:cs="Calibri"/>
                <w:color w:val="000000"/>
                <w:sz w:val="20"/>
                <w:szCs w:val="20"/>
                <w:lang w:eastAsia="fr-FR"/>
              </w:rPr>
              <w:t>Veille sur la certification</w:t>
            </w:r>
          </w:p>
          <w:p w14:paraId="4F957901" w14:textId="77777777" w:rsidR="001A73A6" w:rsidRPr="001A73A6" w:rsidRDefault="001A73A6" w:rsidP="001A73A6">
            <w:pPr>
              <w:numPr>
                <w:ilvl w:val="0"/>
                <w:numId w:val="7"/>
              </w:numPr>
              <w:autoSpaceDE w:val="0"/>
              <w:autoSpaceDN w:val="0"/>
              <w:adjustRightInd w:val="0"/>
              <w:spacing w:after="0" w:line="240" w:lineRule="auto"/>
              <w:jc w:val="both"/>
              <w:rPr>
                <w:rFonts w:ascii="Calibri" w:eastAsia="Times New Roman" w:hAnsi="Calibri" w:cs="Calibri"/>
                <w:sz w:val="24"/>
                <w:szCs w:val="24"/>
                <w:lang w:eastAsia="fr-FR"/>
              </w:rPr>
            </w:pPr>
            <w:r w:rsidRPr="001A73A6">
              <w:rPr>
                <w:rFonts w:ascii="Calibri" w:eastAsia="Times New Roman" w:hAnsi="Calibri" w:cs="Calibri"/>
                <w:color w:val="000000"/>
                <w:sz w:val="20"/>
                <w:szCs w:val="20"/>
                <w:lang w:eastAsia="fr-FR"/>
              </w:rPr>
              <w:t>Mise en œuvre et suivi de la démarche de certification</w:t>
            </w:r>
          </w:p>
        </w:tc>
      </w:tr>
    </w:tbl>
    <w:p w14:paraId="3FD97293" w14:textId="061D9BA3" w:rsidR="001A73A6" w:rsidRDefault="001A73A6" w:rsidP="001A73A6">
      <w:pPr>
        <w:spacing w:before="120"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 xml:space="preserve">Ce projet devra suivre une </w:t>
      </w:r>
      <w:r w:rsidRPr="001A73A6">
        <w:rPr>
          <w:rFonts w:ascii="Calibri" w:eastAsia="Times New Roman" w:hAnsi="Calibri" w:cs="Calibri"/>
          <w:b/>
          <w:bCs/>
          <w:sz w:val="20"/>
          <w:szCs w:val="20"/>
          <w:lang w:eastAsia="fr-FR"/>
        </w:rPr>
        <w:t>démarche de conduite de projet</w:t>
      </w:r>
      <w:r w:rsidRPr="001A73A6">
        <w:rPr>
          <w:rFonts w:ascii="Calibri" w:eastAsia="Times New Roman" w:hAnsi="Calibri" w:cs="Calibri"/>
          <w:sz w:val="20"/>
          <w:szCs w:val="20"/>
          <w:lang w:eastAsia="fr-FR"/>
        </w:rPr>
        <w:t>.</w:t>
      </w:r>
    </w:p>
    <w:p w14:paraId="31F890A0" w14:textId="77777777" w:rsidR="001A73A6" w:rsidRDefault="001A73A6" w:rsidP="001A73A6">
      <w:pPr>
        <w:spacing w:before="120" w:after="0" w:line="240" w:lineRule="auto"/>
        <w:jc w:val="both"/>
        <w:rPr>
          <w:rFonts w:ascii="Calibri" w:eastAsia="Times New Roman" w:hAnsi="Calibri" w:cs="Calibri"/>
          <w:sz w:val="20"/>
          <w:szCs w:val="20"/>
          <w:lang w:eastAsia="fr-FR"/>
        </w:rPr>
      </w:pPr>
    </w:p>
    <w:p w14:paraId="0F2307E9" w14:textId="77777777" w:rsidR="001A73A6" w:rsidRPr="001A73A6" w:rsidRDefault="001A73A6" w:rsidP="001A73A6">
      <w:p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 xml:space="preserve">On attendra des étudiants, en termes opérationnels / méthodologiques et de communication : </w:t>
      </w:r>
    </w:p>
    <w:p w14:paraId="4DF31F01" w14:textId="77777777" w:rsidR="001A73A6" w:rsidRPr="001A73A6" w:rsidRDefault="001A73A6" w:rsidP="001A73A6">
      <w:pPr>
        <w:numPr>
          <w:ilvl w:val="0"/>
          <w:numId w:val="8"/>
        </w:num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 xml:space="preserve">Une analyse pertinente de la situation en prenant en compte les priorités, les contingences et les caractéristiques de la PME et du projet </w:t>
      </w:r>
    </w:p>
    <w:p w14:paraId="02F94D66" w14:textId="77777777" w:rsidR="001A73A6" w:rsidRPr="001A73A6" w:rsidRDefault="001A73A6" w:rsidP="001A73A6">
      <w:pPr>
        <w:numPr>
          <w:ilvl w:val="0"/>
          <w:numId w:val="8"/>
        </w:num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L’identification, le recensement et l’évaluation des risques de l’entreprise</w:t>
      </w:r>
    </w:p>
    <w:p w14:paraId="311AE1FA" w14:textId="77777777" w:rsidR="001A73A6" w:rsidRPr="001A73A6" w:rsidRDefault="001A73A6" w:rsidP="001A73A6">
      <w:pPr>
        <w:numPr>
          <w:ilvl w:val="0"/>
          <w:numId w:val="8"/>
        </w:num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L’évaluation de la fiabilité et de la pertinence des sources d’information</w:t>
      </w:r>
    </w:p>
    <w:p w14:paraId="6F5BF5D5" w14:textId="77777777" w:rsidR="001A73A6" w:rsidRPr="001A73A6" w:rsidRDefault="001A73A6" w:rsidP="001A73A6">
      <w:pPr>
        <w:numPr>
          <w:ilvl w:val="0"/>
          <w:numId w:val="8"/>
        </w:num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Une démarche de conduite du projet adaptée aux contraintes et au respect des délais impartis</w:t>
      </w:r>
    </w:p>
    <w:p w14:paraId="35F2DE32" w14:textId="77777777" w:rsidR="001A73A6" w:rsidRPr="001A73A6" w:rsidRDefault="001A73A6" w:rsidP="001A73A6">
      <w:pPr>
        <w:numPr>
          <w:ilvl w:val="0"/>
          <w:numId w:val="8"/>
        </w:num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Des propositions d’actions correctrices, la constitution de dossiers et/ou la mise en place de propositions ou procédures d’amélioration</w:t>
      </w:r>
    </w:p>
    <w:p w14:paraId="4142FAB5" w14:textId="77777777" w:rsidR="001A73A6" w:rsidRPr="001A73A6" w:rsidRDefault="001A73A6" w:rsidP="001A73A6">
      <w:pPr>
        <w:numPr>
          <w:ilvl w:val="0"/>
          <w:numId w:val="8"/>
        </w:num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Des opérations de suivi, de contrôle, de correction effectuées avec rigueur, réactivité et pertinence selon le projet ou le dossier pris en charge</w:t>
      </w:r>
    </w:p>
    <w:p w14:paraId="4198C3BA" w14:textId="77777777" w:rsidR="001A73A6" w:rsidRPr="001A73A6" w:rsidRDefault="001A73A6" w:rsidP="001A73A6">
      <w:pPr>
        <w:numPr>
          <w:ilvl w:val="0"/>
          <w:numId w:val="8"/>
        </w:num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Des relations régulières avec le responsable du projet et les acteurs internes et partenaires extérieurs au projet</w:t>
      </w:r>
    </w:p>
    <w:p w14:paraId="1C998579" w14:textId="77777777" w:rsidR="001A73A6" w:rsidRPr="001A73A6" w:rsidRDefault="001A73A6" w:rsidP="001A73A6">
      <w:pPr>
        <w:numPr>
          <w:ilvl w:val="0"/>
          <w:numId w:val="8"/>
        </w:num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Des documents écrits de qualité professionnelle dans le respect des règles (orthographiques, syntaxiques, éthiques, argumentation) et des valeurs de l’entreprise</w:t>
      </w:r>
    </w:p>
    <w:p w14:paraId="150FB78D" w14:textId="77777777" w:rsidR="001A73A6" w:rsidRPr="001A73A6" w:rsidRDefault="001A73A6" w:rsidP="001A73A6">
      <w:pPr>
        <w:numPr>
          <w:ilvl w:val="0"/>
          <w:numId w:val="8"/>
        </w:numPr>
        <w:spacing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Une utilisation adaptée des outils de communication, du traitement de textes, d’outils de présentation assistée par ordinateur et de planification de projet, du PGI (avec une extraction de données) et du tableur.</w:t>
      </w:r>
    </w:p>
    <w:p w14:paraId="5DC1730C" w14:textId="77777777" w:rsidR="001A73A6" w:rsidRDefault="001A73A6" w:rsidP="001A73A6">
      <w:pPr>
        <w:spacing w:before="120" w:after="0" w:line="240" w:lineRule="auto"/>
        <w:jc w:val="both"/>
        <w:rPr>
          <w:rFonts w:ascii="Calibri" w:eastAsia="Times New Roman" w:hAnsi="Calibri" w:cs="Calibri"/>
          <w:sz w:val="20"/>
          <w:szCs w:val="20"/>
          <w:lang w:eastAsia="fr-FR"/>
        </w:rPr>
      </w:pPr>
    </w:p>
    <w:p w14:paraId="7A92BCA7" w14:textId="140D4FF7" w:rsidR="001A73A6" w:rsidRPr="001A73A6" w:rsidRDefault="001A73A6" w:rsidP="001A73A6">
      <w:pPr>
        <w:spacing w:before="120" w:after="0" w:line="240" w:lineRule="auto"/>
        <w:jc w:val="both"/>
        <w:rPr>
          <w:rFonts w:ascii="Calibri" w:eastAsia="Times New Roman" w:hAnsi="Calibri" w:cs="Calibri"/>
          <w:sz w:val="20"/>
          <w:szCs w:val="20"/>
          <w:lang w:eastAsia="fr-FR"/>
        </w:rPr>
      </w:pPr>
      <w:r w:rsidRPr="001A73A6">
        <w:rPr>
          <w:rFonts w:ascii="Calibri" w:eastAsia="Times New Roman" w:hAnsi="Calibri" w:cs="Calibri"/>
          <w:sz w:val="20"/>
          <w:szCs w:val="20"/>
          <w:lang w:eastAsia="fr-FR"/>
        </w:rPr>
        <w:t>Ces activités</w:t>
      </w:r>
      <w:r>
        <w:rPr>
          <w:rFonts w:ascii="Calibri" w:eastAsia="Times New Roman" w:hAnsi="Calibri" w:cs="Calibri"/>
          <w:sz w:val="20"/>
          <w:szCs w:val="20"/>
          <w:lang w:eastAsia="fr-FR"/>
        </w:rPr>
        <w:t xml:space="preserve"> de 1</w:t>
      </w:r>
      <w:r w:rsidRPr="001A73A6">
        <w:rPr>
          <w:rFonts w:ascii="Calibri" w:eastAsia="Times New Roman" w:hAnsi="Calibri" w:cs="Calibri"/>
          <w:sz w:val="20"/>
          <w:szCs w:val="20"/>
          <w:vertAlign w:val="superscript"/>
          <w:lang w:eastAsia="fr-FR"/>
        </w:rPr>
        <w:t>ère</w:t>
      </w:r>
      <w:r>
        <w:rPr>
          <w:rFonts w:ascii="Calibri" w:eastAsia="Times New Roman" w:hAnsi="Calibri" w:cs="Calibri"/>
          <w:sz w:val="20"/>
          <w:szCs w:val="20"/>
          <w:lang w:eastAsia="fr-FR"/>
        </w:rPr>
        <w:t xml:space="preserve"> et de 2</w:t>
      </w:r>
      <w:r w:rsidRPr="001A73A6">
        <w:rPr>
          <w:rFonts w:ascii="Calibri" w:eastAsia="Times New Roman" w:hAnsi="Calibri" w:cs="Calibri"/>
          <w:sz w:val="20"/>
          <w:szCs w:val="20"/>
          <w:vertAlign w:val="superscript"/>
          <w:lang w:eastAsia="fr-FR"/>
        </w:rPr>
        <w:t>ème</w:t>
      </w:r>
      <w:r>
        <w:rPr>
          <w:rFonts w:ascii="Calibri" w:eastAsia="Times New Roman" w:hAnsi="Calibri" w:cs="Calibri"/>
          <w:sz w:val="20"/>
          <w:szCs w:val="20"/>
          <w:lang w:eastAsia="fr-FR"/>
        </w:rPr>
        <w:t xml:space="preserve"> année</w:t>
      </w:r>
      <w:r w:rsidRPr="001A73A6">
        <w:rPr>
          <w:rFonts w:ascii="Calibri" w:eastAsia="Times New Roman" w:hAnsi="Calibri" w:cs="Calibri"/>
          <w:sz w:val="20"/>
          <w:szCs w:val="20"/>
          <w:lang w:eastAsia="fr-FR"/>
        </w:rPr>
        <w:t xml:space="preserve"> seront caractérisées par :</w:t>
      </w:r>
    </w:p>
    <w:p w14:paraId="6A5C5BEF" w14:textId="77777777" w:rsidR="001A73A6" w:rsidRPr="001A73A6" w:rsidRDefault="001A73A6" w:rsidP="001A73A6">
      <w:pPr>
        <w:numPr>
          <w:ilvl w:val="0"/>
          <w:numId w:val="6"/>
        </w:numPr>
        <w:spacing w:after="0" w:line="240" w:lineRule="auto"/>
        <w:jc w:val="both"/>
        <w:rPr>
          <w:rFonts w:ascii="Calibri" w:eastAsia="Times New Roman" w:hAnsi="Calibri" w:cs="Calibri"/>
          <w:sz w:val="20"/>
          <w:szCs w:val="20"/>
          <w:lang w:eastAsia="fr-FR"/>
        </w:rPr>
      </w:pPr>
      <w:proofErr w:type="gramStart"/>
      <w:r w:rsidRPr="001A73A6">
        <w:rPr>
          <w:rFonts w:ascii="Calibri" w:eastAsia="Times New Roman" w:hAnsi="Calibri" w:cs="Calibri"/>
          <w:sz w:val="20"/>
          <w:szCs w:val="20"/>
          <w:lang w:eastAsia="fr-FR"/>
        </w:rPr>
        <w:t>la</w:t>
      </w:r>
      <w:proofErr w:type="gramEnd"/>
      <w:r w:rsidRPr="001A73A6">
        <w:rPr>
          <w:rFonts w:ascii="Calibri" w:eastAsia="Times New Roman" w:hAnsi="Calibri" w:cs="Calibri"/>
          <w:sz w:val="20"/>
          <w:szCs w:val="20"/>
          <w:lang w:eastAsia="fr-FR"/>
        </w:rPr>
        <w:t xml:space="preserve"> plus grande </w:t>
      </w:r>
      <w:r w:rsidRPr="001A73A6">
        <w:rPr>
          <w:rFonts w:ascii="Calibri" w:eastAsia="Times New Roman" w:hAnsi="Calibri" w:cs="Calibri"/>
          <w:b/>
          <w:sz w:val="20"/>
          <w:szCs w:val="20"/>
          <w:lang w:eastAsia="fr-FR"/>
        </w:rPr>
        <w:t>responsabilisation de l’étudiant</w:t>
      </w:r>
      <w:r w:rsidRPr="001A73A6">
        <w:rPr>
          <w:rFonts w:ascii="Calibri" w:eastAsia="Times New Roman" w:hAnsi="Calibri" w:cs="Calibri"/>
          <w:sz w:val="20"/>
          <w:szCs w:val="20"/>
          <w:lang w:eastAsia="fr-FR"/>
        </w:rPr>
        <w:t xml:space="preserve"> en concertation avec le tuteur chargé de le diriger et de l’accompagner.</w:t>
      </w:r>
    </w:p>
    <w:p w14:paraId="50294DBC" w14:textId="78999F62" w:rsidR="001A73A6" w:rsidRPr="001A73A6" w:rsidRDefault="001A73A6" w:rsidP="001A73A6">
      <w:pPr>
        <w:numPr>
          <w:ilvl w:val="0"/>
          <w:numId w:val="6"/>
        </w:numPr>
        <w:spacing w:after="0" w:line="240" w:lineRule="auto"/>
        <w:jc w:val="both"/>
        <w:rPr>
          <w:rFonts w:ascii="Calibri" w:eastAsia="Times New Roman" w:hAnsi="Calibri" w:cs="Calibri"/>
          <w:sz w:val="20"/>
          <w:szCs w:val="20"/>
          <w:lang w:eastAsia="fr-FR"/>
        </w:rPr>
      </w:pPr>
      <w:proofErr w:type="gramStart"/>
      <w:r w:rsidRPr="001A73A6">
        <w:rPr>
          <w:rFonts w:ascii="Calibri" w:eastAsia="Times New Roman" w:hAnsi="Calibri" w:cs="Calibri"/>
          <w:sz w:val="20"/>
          <w:szCs w:val="20"/>
          <w:lang w:eastAsia="fr-FR"/>
        </w:rPr>
        <w:t>le</w:t>
      </w:r>
      <w:proofErr w:type="gramEnd"/>
      <w:r w:rsidRPr="001A73A6">
        <w:rPr>
          <w:rFonts w:ascii="Calibri" w:eastAsia="Times New Roman" w:hAnsi="Calibri" w:cs="Calibri"/>
          <w:sz w:val="20"/>
          <w:szCs w:val="20"/>
          <w:lang w:eastAsia="fr-FR"/>
        </w:rPr>
        <w:t xml:space="preserve"> recours aux </w:t>
      </w:r>
      <w:r w:rsidRPr="001A73A6">
        <w:rPr>
          <w:rFonts w:ascii="Calibri" w:eastAsia="Times New Roman" w:hAnsi="Calibri" w:cs="Calibri"/>
          <w:b/>
          <w:sz w:val="20"/>
          <w:szCs w:val="20"/>
          <w:lang w:eastAsia="fr-FR"/>
        </w:rPr>
        <w:t>logiciels et/ou progiciel de l’entreprise</w:t>
      </w:r>
      <w:r w:rsidRPr="001A73A6">
        <w:rPr>
          <w:rFonts w:ascii="Calibri" w:eastAsia="Times New Roman" w:hAnsi="Calibri" w:cs="Calibri"/>
          <w:sz w:val="20"/>
          <w:szCs w:val="20"/>
          <w:lang w:eastAsia="fr-FR"/>
        </w:rPr>
        <w:t>.</w:t>
      </w:r>
    </w:p>
    <w:p w14:paraId="38847667" w14:textId="77777777" w:rsidR="001A73A6" w:rsidRPr="001A73A6" w:rsidRDefault="001A73A6" w:rsidP="001A73A6">
      <w:pPr>
        <w:spacing w:after="0" w:line="240" w:lineRule="auto"/>
        <w:ind w:left="360"/>
        <w:jc w:val="both"/>
        <w:rPr>
          <w:rFonts w:ascii="Calibri" w:eastAsia="Times New Roman" w:hAnsi="Calibri" w:cs="Calibri"/>
          <w:sz w:val="20"/>
          <w:szCs w:val="20"/>
          <w:lang w:eastAsia="fr-FR"/>
        </w:rPr>
      </w:pPr>
    </w:p>
    <w:sectPr w:rsidR="001A73A6" w:rsidRPr="001A73A6" w:rsidSect="001A73A6">
      <w:pgSz w:w="11906" w:h="16838"/>
      <w:pgMar w:top="851" w:right="1417" w:bottom="113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EE033A"/>
    <w:multiLevelType w:val="hybridMultilevel"/>
    <w:tmpl w:val="DA84752A"/>
    <w:lvl w:ilvl="0" w:tplc="040C0001">
      <w:start w:val="1"/>
      <w:numFmt w:val="bullet"/>
      <w:lvlText w:val=""/>
      <w:lvlJc w:val="left"/>
      <w:pPr>
        <w:ind w:left="720" w:hanging="360"/>
      </w:pPr>
      <w:rPr>
        <w:rFonts w:ascii="Symbol" w:hAnsi="Symbol" w:hint="default"/>
      </w:rPr>
    </w:lvl>
    <w:lvl w:ilvl="1" w:tplc="040C000D">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C3334E8"/>
    <w:multiLevelType w:val="hybridMultilevel"/>
    <w:tmpl w:val="79BC8C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8827369"/>
    <w:multiLevelType w:val="hybridMultilevel"/>
    <w:tmpl w:val="26E2F1A4"/>
    <w:lvl w:ilvl="0" w:tplc="803ACBCE">
      <w:numFmt w:val="bullet"/>
      <w:lvlText w:val="-"/>
      <w:lvlJc w:val="left"/>
      <w:pPr>
        <w:tabs>
          <w:tab w:val="num" w:pos="360"/>
        </w:tabs>
        <w:ind w:left="360" w:hanging="360"/>
      </w:pPr>
      <w:rPr>
        <w:rFonts w:ascii="Calibri" w:eastAsia="Times New Roman" w:hAnsi="Calibri" w:cs="Times New Roman"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55D76D33"/>
    <w:multiLevelType w:val="hybridMultilevel"/>
    <w:tmpl w:val="2EF84B2E"/>
    <w:lvl w:ilvl="0" w:tplc="040C0001">
      <w:start w:val="1"/>
      <w:numFmt w:val="bullet"/>
      <w:lvlText w:val=""/>
      <w:lvlJc w:val="left"/>
      <w:pPr>
        <w:ind w:left="360" w:hanging="360"/>
      </w:pPr>
      <w:rPr>
        <w:rFonts w:ascii="Symbol" w:hAnsi="Symbol" w:hint="default"/>
      </w:rPr>
    </w:lvl>
    <w:lvl w:ilvl="1" w:tplc="BCF46D72">
      <w:numFmt w:val="bullet"/>
      <w:lvlText w:val="-"/>
      <w:lvlJc w:val="left"/>
      <w:pPr>
        <w:ind w:left="1080" w:hanging="360"/>
      </w:pPr>
      <w:rPr>
        <w:rFonts w:ascii="Century Gothic" w:eastAsia="Times New Roman" w:hAnsi="Century Gothic" w:cs="Times New Roman"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56135541"/>
    <w:multiLevelType w:val="hybridMultilevel"/>
    <w:tmpl w:val="F01E56FE"/>
    <w:lvl w:ilvl="0" w:tplc="040C000D">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 w15:restartNumberingAfterBreak="0">
    <w:nsid w:val="5B727536"/>
    <w:multiLevelType w:val="hybridMultilevel"/>
    <w:tmpl w:val="4ED6B582"/>
    <w:lvl w:ilvl="0" w:tplc="040C0001">
      <w:start w:val="1"/>
      <w:numFmt w:val="bullet"/>
      <w:lvlText w:val=""/>
      <w:lvlJc w:val="left"/>
      <w:pPr>
        <w:ind w:left="720" w:hanging="360"/>
      </w:pPr>
      <w:rPr>
        <w:rFonts w:ascii="Symbol" w:hAnsi="Symbol" w:hint="default"/>
      </w:rPr>
    </w:lvl>
    <w:lvl w:ilvl="1" w:tplc="040C000D">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E681932"/>
    <w:multiLevelType w:val="hybridMultilevel"/>
    <w:tmpl w:val="8AB02C18"/>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7" w15:restartNumberingAfterBreak="0">
    <w:nsid w:val="5F6A320C"/>
    <w:multiLevelType w:val="hybridMultilevel"/>
    <w:tmpl w:val="838E5BCE"/>
    <w:lvl w:ilvl="0" w:tplc="5406CF74">
      <w:start w:val="1"/>
      <w:numFmt w:val="bullet"/>
      <w:lvlText w:val=""/>
      <w:lvlJc w:val="left"/>
      <w:pPr>
        <w:ind w:left="360" w:hanging="360"/>
      </w:pPr>
      <w:rPr>
        <w:rFonts w:ascii="Wingdings" w:hAnsi="Wingdings" w:hint="default"/>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0"/>
  </w:num>
  <w:num w:numId="5">
    <w:abstractNumId w:val="1"/>
  </w:num>
  <w:num w:numId="6">
    <w:abstractNumId w:val="2"/>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531"/>
    <w:rsid w:val="0002065E"/>
    <w:rsid w:val="0019620C"/>
    <w:rsid w:val="001A73A6"/>
    <w:rsid w:val="005839FF"/>
    <w:rsid w:val="00632F9D"/>
    <w:rsid w:val="007C09B8"/>
    <w:rsid w:val="008D5531"/>
    <w:rsid w:val="00CE0954"/>
    <w:rsid w:val="00FF08B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99556"/>
  <w15:chartTrackingRefBased/>
  <w15:docId w15:val="{C50EEB94-4749-48AD-AD77-CEE2A4DC7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D55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884</Words>
  <Characters>4867</Characters>
  <Application>Microsoft Office Word</Application>
  <DocSecurity>4</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DUFRIE Catherine</dc:creator>
  <cp:keywords/>
  <dc:description/>
  <cp:lastModifiedBy>DUFRIE Catherine</cp:lastModifiedBy>
  <cp:revision>2</cp:revision>
  <dcterms:created xsi:type="dcterms:W3CDTF">2025-12-09T07:01:00Z</dcterms:created>
  <dcterms:modified xsi:type="dcterms:W3CDTF">2025-12-09T07:01:00Z</dcterms:modified>
</cp:coreProperties>
</file>